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Kallelse till årsmöte 2025 för föreningen Bukobahjälpen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4473208</wp:posOffset>
            </wp:positionH>
            <wp:positionV relativeFrom="paragraph">
              <wp:posOffset>114300</wp:posOffset>
            </wp:positionV>
            <wp:extent cx="1372292" cy="13700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2292" cy="1370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Tid: </w:t>
        <w:tab/>
        <w:t xml:space="preserve">3 april 20025 kl 18.00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Plats:</w:t>
        <w:tab/>
        <w:t xml:space="preserve">Sankt Pauligården, Göteborg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Dagordning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årsmötespresidium, ordförande och sekreterare.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två protokolljusterare.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Godkännande av föredragningslistan.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Godkännande av kallelsen till årsmötet.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Fastställande av röstlängd.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Verksamhetsberättelse.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Ekonomisk redogörelse och det gångna årets bokslut.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Revisorernas berättelse.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Fastställande av resultat- och balansräkning.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Fråga om ansvarsfrihet för styrelsen.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Beslut om årlig medlemsavgift.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styrelseledamöter och styrelsesuppleanter.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revisor.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 av valberedning för nästa årsmöte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leader="none" w:pos="-435"/>
        </w:tabs>
        <w:spacing w:line="240" w:lineRule="auto"/>
        <w:ind w:left="992.1259842519685" w:hanging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Övriga frågor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